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6FF" w:rsidRDefault="00CA46FF">
      <w:pPr>
        <w:tabs>
          <w:tab w:val="left" w:pos="900"/>
        </w:tabs>
      </w:pPr>
    </w:p>
    <w:p w:rsidR="009D7100" w:rsidRDefault="009D7100" w:rsidP="009D7100">
      <w:pPr>
        <w:tabs>
          <w:tab w:val="left" w:pos="900"/>
        </w:tabs>
      </w:pPr>
      <w:r>
        <w:rPr>
          <w:b/>
          <w:highlight w:val="darkCyan"/>
        </w:rPr>
        <w:t>TARİH</w:t>
      </w:r>
      <w:r>
        <w:rPr>
          <w:b/>
          <w:highlight w:val="darkCyan"/>
        </w:rPr>
        <w:tab/>
        <w:t xml:space="preserve">: </w:t>
      </w:r>
      <w:r w:rsidR="000C6A5A">
        <w:rPr>
          <w:b/>
        </w:rPr>
        <w:t>19 Ramazan 1445</w:t>
      </w:r>
      <w:r w:rsidR="000C6A5A">
        <w:rPr>
          <w:b/>
        </w:rPr>
        <w:tab/>
      </w:r>
      <w:r>
        <w:rPr>
          <w:b/>
        </w:rPr>
        <w:tab/>
      </w:r>
      <w:r w:rsidR="000C6A5A" w:rsidRPr="000C6A5A">
        <w:rPr>
          <w:b/>
        </w:rPr>
        <w:t>30 Mart 2024 Cumartesi</w:t>
      </w:r>
    </w:p>
    <w:p w:rsidR="009D7100" w:rsidRDefault="009D7100" w:rsidP="009D7100">
      <w:pPr>
        <w:tabs>
          <w:tab w:val="left" w:pos="900"/>
        </w:tabs>
      </w:pPr>
      <w:r>
        <w:t>Bu yılki asgarî fitre</w:t>
      </w:r>
      <w:r w:rsidR="000C6A5A">
        <w:t xml:space="preserve"> veya bir günlük fidye miktarı 13</w:t>
      </w:r>
      <w:r>
        <w:t>0 TL’dir.</w:t>
      </w:r>
    </w:p>
    <w:tbl>
      <w:tblPr>
        <w:tblStyle w:val="a"/>
        <w:tblW w:w="158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7"/>
        <w:gridCol w:w="11031"/>
        <w:gridCol w:w="2236"/>
      </w:tblGrid>
      <w:tr w:rsidR="00CA46FF">
        <w:tc>
          <w:tcPr>
            <w:tcW w:w="15844" w:type="dxa"/>
            <w:gridSpan w:val="3"/>
          </w:tcPr>
          <w:p w:rsidR="00CA46FF" w:rsidRDefault="00FA6CC1">
            <w:pPr>
              <w:tabs>
                <w:tab w:val="left" w:pos="900"/>
              </w:tabs>
              <w:jc w:val="center"/>
            </w:pPr>
            <w:r>
              <w:rPr>
                <w:b/>
              </w:rPr>
              <w:t>RAMAZAN SAYFASI</w:t>
            </w:r>
          </w:p>
        </w:tc>
      </w:tr>
      <w:tr w:rsidR="00CA46FF" w:rsidTr="00C24835">
        <w:trPr>
          <w:cantSplit/>
          <w:trHeight w:val="8516"/>
        </w:trPr>
        <w:tc>
          <w:tcPr>
            <w:tcW w:w="2577" w:type="dxa"/>
          </w:tcPr>
          <w:p w:rsidR="00C24835" w:rsidRDefault="00C24835">
            <w:pPr>
              <w:tabs>
                <w:tab w:val="left" w:pos="900"/>
              </w:tabs>
              <w:jc w:val="center"/>
              <w:rPr>
                <w:b/>
                <w:i/>
              </w:rPr>
            </w:pPr>
          </w:p>
          <w:p w:rsidR="00C24835" w:rsidRDefault="00C24835">
            <w:pPr>
              <w:tabs>
                <w:tab w:val="left" w:pos="900"/>
              </w:tabs>
              <w:jc w:val="center"/>
              <w:rPr>
                <w:b/>
                <w:i/>
              </w:rPr>
            </w:pPr>
          </w:p>
          <w:p w:rsidR="00C24835" w:rsidRDefault="00C24835">
            <w:pPr>
              <w:tabs>
                <w:tab w:val="left" w:pos="900"/>
              </w:tabs>
              <w:jc w:val="center"/>
              <w:rPr>
                <w:b/>
                <w:i/>
              </w:rPr>
            </w:pPr>
          </w:p>
          <w:p w:rsidR="00C24835" w:rsidRDefault="00C24835">
            <w:pPr>
              <w:tabs>
                <w:tab w:val="left" w:pos="900"/>
              </w:tabs>
              <w:jc w:val="center"/>
              <w:rPr>
                <w:b/>
                <w:i/>
              </w:rPr>
            </w:pPr>
          </w:p>
          <w:p w:rsidR="00C24835" w:rsidRDefault="00C24835">
            <w:pPr>
              <w:tabs>
                <w:tab w:val="left" w:pos="900"/>
              </w:tabs>
              <w:jc w:val="center"/>
              <w:rPr>
                <w:b/>
                <w:i/>
              </w:rPr>
            </w:pPr>
          </w:p>
          <w:p w:rsidR="00CA46FF" w:rsidRDefault="00FA6CC1">
            <w:pPr>
              <w:tabs>
                <w:tab w:val="left" w:pos="900"/>
              </w:tabs>
              <w:jc w:val="center"/>
              <w:rPr>
                <w:b/>
                <w:i/>
              </w:rPr>
            </w:pPr>
            <w:r>
              <w:rPr>
                <w:b/>
                <w:i/>
              </w:rPr>
              <w:t>MEAL OKUYORUM</w:t>
            </w:r>
          </w:p>
          <w:p w:rsidR="00CA46FF" w:rsidRDefault="00CA46FF">
            <w:pPr>
              <w:tabs>
                <w:tab w:val="left" w:pos="900"/>
              </w:tabs>
              <w:jc w:val="center"/>
              <w:rPr>
                <w:b/>
                <w:i/>
              </w:rPr>
            </w:pPr>
          </w:p>
          <w:p w:rsidR="00CA46FF" w:rsidRDefault="00FA6CC1">
            <w:pPr>
              <w:tabs>
                <w:tab w:val="left" w:pos="900"/>
              </w:tabs>
            </w:pPr>
            <w:r>
              <w:t xml:space="preserve">Doğru terazi ile tartın. İnsanların hakkı </w:t>
            </w:r>
          </w:p>
          <w:p w:rsidR="00CA46FF" w:rsidRDefault="00FA6CC1">
            <w:pPr>
              <w:tabs>
                <w:tab w:val="left" w:pos="900"/>
              </w:tabs>
            </w:pPr>
            <w:proofErr w:type="gramStart"/>
            <w:r>
              <w:t>olan</w:t>
            </w:r>
            <w:proofErr w:type="gramEnd"/>
            <w:r>
              <w:t xml:space="preserve"> şeyleri kısmayın, bozgunculuk yaparak </w:t>
            </w:r>
          </w:p>
          <w:p w:rsidR="00CA46FF" w:rsidRDefault="00FA6CC1">
            <w:pPr>
              <w:tabs>
                <w:tab w:val="left" w:pos="900"/>
              </w:tabs>
            </w:pPr>
            <w:proofErr w:type="gramStart"/>
            <w:r>
              <w:t>yeryüzünde</w:t>
            </w:r>
            <w:proofErr w:type="gramEnd"/>
            <w:r>
              <w:t xml:space="preserve"> karışıklık çıkarmayın.</w:t>
            </w:r>
          </w:p>
          <w:p w:rsidR="00CA46FF" w:rsidRDefault="00FA6CC1">
            <w:pPr>
              <w:tabs>
                <w:tab w:val="left" w:pos="900"/>
              </w:tabs>
            </w:pPr>
            <w:r>
              <w:t>(</w:t>
            </w:r>
            <w:proofErr w:type="spellStart"/>
            <w:r>
              <w:t>Şuarâ</w:t>
            </w:r>
            <w:proofErr w:type="spellEnd"/>
            <w:r>
              <w:t>, 26/182-183)</w:t>
            </w:r>
          </w:p>
        </w:tc>
        <w:tc>
          <w:tcPr>
            <w:tcW w:w="11031" w:type="dxa"/>
            <w:vMerge w:val="restart"/>
          </w:tcPr>
          <w:p w:rsidR="00EA481E" w:rsidRPr="00EA481E" w:rsidRDefault="00FA6CC1" w:rsidP="00EA481E">
            <w:pPr>
              <w:rPr>
                <w:rFonts w:eastAsia="Calibri"/>
                <w:b/>
                <w:bCs/>
                <w:lang w:eastAsia="en-US"/>
              </w:rPr>
            </w:pPr>
            <w:r>
              <w:rPr>
                <w:rFonts w:ascii="Calibri" w:eastAsia="Calibri" w:hAnsi="Calibri" w:cs="Calibri"/>
                <w:sz w:val="20"/>
                <w:szCs w:val="20"/>
              </w:rPr>
              <w:t xml:space="preserve">                                      </w:t>
            </w:r>
            <w:r w:rsidR="000A357D">
              <w:rPr>
                <w:rFonts w:ascii="Calibri" w:eastAsia="Calibri" w:hAnsi="Calibri" w:cs="Calibri"/>
                <w:b/>
                <w:sz w:val="20"/>
                <w:szCs w:val="20"/>
              </w:rPr>
              <w:t xml:space="preserve">                   </w:t>
            </w:r>
            <w:r w:rsidR="00EA481E">
              <w:rPr>
                <w:rFonts w:eastAsia="Calibri"/>
                <w:b/>
                <w:bCs/>
                <w:lang w:eastAsia="en-US"/>
              </w:rPr>
              <w:t xml:space="preserve">        </w:t>
            </w:r>
            <w:r w:rsidR="00EA481E" w:rsidRPr="00EA481E">
              <w:rPr>
                <w:rFonts w:eastAsia="Calibri"/>
                <w:b/>
                <w:bCs/>
                <w:lang w:eastAsia="en-US"/>
              </w:rPr>
              <w:t xml:space="preserve">      ALLAH VE HZ. PEYGAMBER SEVGİSİ</w:t>
            </w:r>
          </w:p>
          <w:p w:rsidR="00EA481E" w:rsidRPr="00EA481E" w:rsidRDefault="00EA481E" w:rsidP="00EA481E">
            <w:pPr>
              <w:spacing w:line="360" w:lineRule="auto"/>
              <w:jc w:val="both"/>
              <w:rPr>
                <w:rFonts w:eastAsia="Calibri"/>
                <w:lang w:eastAsia="en-US"/>
              </w:rPr>
            </w:pPr>
          </w:p>
          <w:p w:rsidR="00EA481E" w:rsidRPr="00EA481E" w:rsidRDefault="00EA481E" w:rsidP="00EA481E">
            <w:pPr>
              <w:spacing w:line="360" w:lineRule="auto"/>
              <w:jc w:val="both"/>
              <w:rPr>
                <w:rFonts w:eastAsia="Calibri"/>
                <w:lang w:eastAsia="en-US"/>
              </w:rPr>
            </w:pPr>
            <w:r w:rsidRPr="00EA481E">
              <w:rPr>
                <w:rFonts w:eastAsia="Calibri"/>
                <w:lang w:eastAsia="en-US"/>
              </w:rPr>
              <w:t>Kâinatın hamuru sevgiyle yoğrulmuştur. Bireylerin birbirlerine olan bağı ancak sevgi sayesinde yaşayabilmektedir. Sevgi, bir nevi tutkal gibidir. İki farklı cenahı, bir köprüyle birbirine bağlayandır sevgi... Köprünün güçlü olduğu birey ve toplumlarda; muhabbetin, dayanışmanın, inkişafın daha güçlü olacağı muhakkaktır. Geçici sevgilerin öldürdüğü, kalıcı olanların insanın gücüne güç kattığı, hayatı anlamlı kıldığı ve kalan ömrün yaşanmasına canlılık kattığı bir gerçektir. Bu durum, maddî âlemde yani dünyada böyle iken manevî alanda yani kulun Allah ve Peygamberi ile münasebetlerinde de böyledir.</w:t>
            </w:r>
          </w:p>
          <w:p w:rsidR="00EA481E" w:rsidRPr="00EA481E" w:rsidRDefault="00EA481E" w:rsidP="00EA481E">
            <w:pPr>
              <w:spacing w:line="360" w:lineRule="auto"/>
              <w:jc w:val="both"/>
              <w:rPr>
                <w:rFonts w:eastAsia="Calibri"/>
                <w:lang w:eastAsia="en-US"/>
              </w:rPr>
            </w:pPr>
            <w:r w:rsidRPr="00EA481E">
              <w:rPr>
                <w:rFonts w:eastAsia="Calibri"/>
                <w:lang w:eastAsia="en-US"/>
              </w:rPr>
              <w:t xml:space="preserve">Bir imtihan dünyasında yaşıyoruz. Geçici olanlarla kalıcı olanları ayırmamız gerekiyor. Ebedî âlem bizim için </w:t>
            </w:r>
            <w:proofErr w:type="spellStart"/>
            <w:r w:rsidRPr="00EA481E">
              <w:rPr>
                <w:rFonts w:eastAsia="Calibri"/>
                <w:lang w:eastAsia="en-US"/>
              </w:rPr>
              <w:t>aslolandır</w:t>
            </w:r>
            <w:proofErr w:type="spellEnd"/>
            <w:r w:rsidRPr="00EA481E">
              <w:rPr>
                <w:rFonts w:eastAsia="Calibri"/>
                <w:lang w:eastAsia="en-US"/>
              </w:rPr>
              <w:t xml:space="preserve">. Allah sevgisi, sevgilerin temelidir. Çünkü kâinatı yaratan, yoktan var eden, her anımızda bize çeşitli nimetler veren yegâne otorite O’dur. Bir insan, başka bir insandan bir yardım gördüğünde, yaptığı ilk şey ona teşekkür etmektir. Bu örneği düşündüğümüzde, insanın birçok nimeti veren Allah’a teşekkür etmesinden, O’nu sevmesinden daha doğal bir durum yoktur. Sayısız nimetlerin içinde insanoğlunun yapması gereken Rabbine karşı şükür nimetini göstermesidir. Bu da ilk olarak sevmekle olacaktır. Çünkü Rabbimiz, kendisini seven, O’na doğru yürüyen, emir ve nehiyleri hakkıyla yerine getirenlere karşı merhametini artırmaktadır. Allah Teâlâ Kur’an-ı Kerim’in birçok yerinde kendisine itaat edilmesinden bahseder. İtaatten kastedilen, sevenin sevdiğinin isteklerini yerine getirmesidir. Rabbimiz aynı ayetlerde Allah’a itaatle birlikte devamında Peygambere de itaati zikretmektedir. Kendine itaatten sonra elçisine yer vermesi, Rabbimizin Peygamberine verdiği değeri göstermektedir. Sevgiye matuf bir ayette Rabbimiz, </w:t>
            </w:r>
            <w:r w:rsidRPr="00EA481E">
              <w:rPr>
                <w:rFonts w:eastAsia="Calibri"/>
                <w:b/>
                <w:bCs/>
                <w:lang w:eastAsia="en-US"/>
              </w:rPr>
              <w:t>“</w:t>
            </w:r>
            <w:r w:rsidRPr="00EA481E">
              <w:rPr>
                <w:rFonts w:eastAsia="Calibri"/>
                <w:b/>
                <w:bCs/>
                <w:i/>
                <w:iCs/>
                <w:lang w:eastAsia="en-US"/>
              </w:rPr>
              <w:t>De ki: “Eğer Allah’ı seviyorsanız bana uyun ki, Allah da sizi sevsin ve günahlarınızı bağışlasın</w:t>
            </w:r>
            <w:r w:rsidRPr="00EA481E">
              <w:rPr>
                <w:rFonts w:eastAsia="Calibri"/>
                <w:b/>
                <w:bCs/>
                <w:lang w:eastAsia="en-US"/>
              </w:rPr>
              <w:t xml:space="preserve">...” </w:t>
            </w:r>
            <w:r w:rsidRPr="00EA481E">
              <w:rPr>
                <w:rFonts w:eastAsia="Calibri"/>
                <w:lang w:eastAsia="en-US"/>
              </w:rPr>
              <w:t>(</w:t>
            </w:r>
            <w:proofErr w:type="spellStart"/>
            <w:r w:rsidRPr="00EA481E">
              <w:rPr>
                <w:rFonts w:eastAsia="Calibri"/>
                <w:lang w:eastAsia="en-US"/>
              </w:rPr>
              <w:t>Âl</w:t>
            </w:r>
            <w:proofErr w:type="spellEnd"/>
            <w:r w:rsidRPr="00EA481E">
              <w:rPr>
                <w:rFonts w:eastAsia="Calibri"/>
                <w:lang w:eastAsia="en-US"/>
              </w:rPr>
              <w:t xml:space="preserve">-i </w:t>
            </w:r>
            <w:proofErr w:type="spellStart"/>
            <w:r w:rsidRPr="00EA481E">
              <w:rPr>
                <w:rFonts w:eastAsia="Calibri"/>
                <w:lang w:eastAsia="en-US"/>
              </w:rPr>
              <w:t>İmrân</w:t>
            </w:r>
            <w:proofErr w:type="spellEnd"/>
            <w:r w:rsidRPr="00EA481E">
              <w:rPr>
                <w:rFonts w:eastAsia="Calibri"/>
                <w:lang w:eastAsia="en-US"/>
              </w:rPr>
              <w:t xml:space="preserve"> 3/31) buyurmaktadır. </w:t>
            </w:r>
          </w:p>
          <w:p w:rsidR="005367FB" w:rsidRDefault="005367FB" w:rsidP="00EA481E">
            <w:pPr>
              <w:spacing w:line="360" w:lineRule="auto"/>
              <w:jc w:val="both"/>
              <w:rPr>
                <w:rFonts w:eastAsia="Calibri"/>
                <w:lang w:eastAsia="en-US"/>
              </w:rPr>
            </w:pPr>
          </w:p>
          <w:p w:rsidR="00EA481E" w:rsidRPr="00EA481E" w:rsidRDefault="00EA481E" w:rsidP="00EA481E">
            <w:pPr>
              <w:spacing w:line="360" w:lineRule="auto"/>
              <w:jc w:val="both"/>
              <w:rPr>
                <w:rFonts w:eastAsia="Calibri"/>
                <w:lang w:eastAsia="en-US"/>
              </w:rPr>
            </w:pPr>
            <w:bookmarkStart w:id="0" w:name="_GoBack"/>
            <w:bookmarkEnd w:id="0"/>
            <w:r w:rsidRPr="00EA481E">
              <w:rPr>
                <w:rFonts w:eastAsia="Calibri"/>
                <w:lang w:eastAsia="en-US"/>
              </w:rPr>
              <w:t xml:space="preserve">Allah ve Hz. Peygamber sevgisi, sözde kalmamalıdır. Eğer böyle olursa, bunu yapan Müslümanın dine bağlılığı sözde kalacaktır ki, bu hem Allah hem de Hz. Peygamber katında makbul değildir. Dünyevî herhangi bir işimizde, bir kişi sadece yaptığı işin kimliğini taşısa, işin gereğini yapmasa, çalıştığı kurum ve iş arkadaşları açısından kabul görmeyecektir. Aynı durum, ben Müslümanım deyip, ibadetlerini yapmayan kişi için de geçerlidir. Biz, herhangi bir görev yapmadan, “Ben Allah’ı ve Hz. Peygamberi çok seviyorum” desek, bu söz anlamsızdır. O zaman bizler, inananlar olarak inancımızın yansımasını, yaşayarak göstermeliyiz. Sözün çok fazla, eylemin çok az olduğu bir dünyada, ameli yapanlar sevgi bakımından temayüz edecektir. Bu noktada ne yapmamız gerektiği hususunda Allah </w:t>
            </w:r>
            <w:proofErr w:type="spellStart"/>
            <w:r w:rsidRPr="00EA481E">
              <w:rPr>
                <w:rFonts w:eastAsia="Calibri"/>
                <w:lang w:eastAsia="en-US"/>
              </w:rPr>
              <w:t>Rasulü</w:t>
            </w:r>
            <w:proofErr w:type="spellEnd"/>
            <w:r w:rsidRPr="00EA481E">
              <w:rPr>
                <w:rFonts w:eastAsia="Calibri"/>
                <w:lang w:eastAsia="en-US"/>
              </w:rPr>
              <w:t xml:space="preserve"> (</w:t>
            </w:r>
            <w:proofErr w:type="spellStart"/>
            <w:r w:rsidRPr="00EA481E">
              <w:rPr>
                <w:rFonts w:eastAsia="Calibri"/>
                <w:lang w:eastAsia="en-US"/>
              </w:rPr>
              <w:t>s.a.v</w:t>
            </w:r>
            <w:proofErr w:type="spellEnd"/>
            <w:r w:rsidRPr="00EA481E">
              <w:rPr>
                <w:rFonts w:eastAsia="Calibri"/>
                <w:lang w:eastAsia="en-US"/>
              </w:rPr>
              <w:t>.) şöyle buyurmaktadır:</w:t>
            </w:r>
            <w:r w:rsidRPr="00EA481E">
              <w:rPr>
                <w:rFonts w:eastAsia="Calibri"/>
                <w:b/>
                <w:bCs/>
                <w:lang w:eastAsia="en-US"/>
              </w:rPr>
              <w:t xml:space="preserve"> “</w:t>
            </w:r>
            <w:r w:rsidRPr="00EA481E">
              <w:rPr>
                <w:rFonts w:eastAsia="Calibri"/>
                <w:b/>
                <w:bCs/>
                <w:i/>
                <w:iCs/>
                <w:lang w:eastAsia="en-US"/>
              </w:rPr>
              <w:t xml:space="preserve">Size, takip ettiğiniz zaman asla doğru yoldan sapmayacağınız iki şey bırakıyorum. Bunlar, Allah’ın kitabı ve Peygamberinin sünnetidir” </w:t>
            </w:r>
            <w:r w:rsidRPr="00EA481E">
              <w:rPr>
                <w:rFonts w:eastAsia="Calibri"/>
                <w:lang w:eastAsia="en-US"/>
              </w:rPr>
              <w:t>(</w:t>
            </w:r>
            <w:proofErr w:type="spellStart"/>
            <w:r w:rsidRPr="00EA481E">
              <w:rPr>
                <w:rFonts w:eastAsia="Calibri"/>
                <w:lang w:eastAsia="en-US"/>
              </w:rPr>
              <w:t>Muvatta</w:t>
            </w:r>
            <w:proofErr w:type="spellEnd"/>
            <w:r w:rsidRPr="00EA481E">
              <w:rPr>
                <w:rFonts w:eastAsia="Calibri"/>
                <w:lang w:eastAsia="en-US"/>
              </w:rPr>
              <w:t>, “Kader”, 3).</w:t>
            </w:r>
          </w:p>
          <w:p w:rsidR="00EA481E" w:rsidRPr="00EA481E" w:rsidRDefault="00EA481E" w:rsidP="00EA481E">
            <w:pPr>
              <w:spacing w:line="360" w:lineRule="auto"/>
              <w:jc w:val="both"/>
              <w:rPr>
                <w:rFonts w:eastAsia="Calibri"/>
                <w:lang w:eastAsia="en-US"/>
              </w:rPr>
            </w:pPr>
            <w:r w:rsidRPr="00EA481E">
              <w:rPr>
                <w:rFonts w:eastAsia="Calibri"/>
                <w:lang w:eastAsia="en-US"/>
              </w:rPr>
              <w:t xml:space="preserve">Müslüman için iki temel düstur, Kur’an ve sünnettir. Hayatın her aşamasında bir mesele ile karşılaştığımızda, “Acaba bu konuda Rabbimiz ne buyuruyor, Peygamberimiz ne tavsiye ediyor” diyebilmeliyiz. Bu bakış açısı, bir Müslümanın rotasıdır. Herkesin kendi dünya görüşünden hayata baktığı noktada, bir Müslüman olarak bizlerin meselelere bakacağı pencere, Kur’an ve sünnet zaviyesi olmalıdır.  </w:t>
            </w:r>
          </w:p>
          <w:p w:rsidR="00EA481E" w:rsidRPr="00EA481E" w:rsidRDefault="00EA481E" w:rsidP="00EA481E">
            <w:pPr>
              <w:spacing w:line="360" w:lineRule="auto"/>
              <w:jc w:val="both"/>
              <w:rPr>
                <w:rFonts w:eastAsia="Calibri"/>
                <w:lang w:eastAsia="en-US"/>
              </w:rPr>
            </w:pPr>
            <w:r w:rsidRPr="00EA481E">
              <w:rPr>
                <w:rFonts w:eastAsia="Calibri"/>
                <w:lang w:eastAsia="en-US"/>
              </w:rPr>
              <w:t>Sevenin, sevdiğinin gözüne girmek için onun isteklerini yerine getirdiği, bin bir meşakkat çektiği bir durumda, “inandım” diyenlerin yani biz Müslümanların, inancını Rabbine ve Peygamberine göstermesi gerekmez mi? Müslümanım demek, tıpkı seviyorum demek gibi bir iddiadır ve iddialar ispat ister. Rabbini seven, Peygamberini rehber edinen bir Müslüman da inandığını yaşayandır. Rabbimiz bizleri, inancının ve sevgisinin gereklerini yerine getiren kullarından eylesin...</w:t>
            </w:r>
          </w:p>
          <w:p w:rsidR="00EA481E" w:rsidRPr="00EA481E" w:rsidRDefault="00EA481E" w:rsidP="00EA481E">
            <w:pPr>
              <w:spacing w:line="360" w:lineRule="auto"/>
              <w:jc w:val="center"/>
              <w:rPr>
                <w:rFonts w:eastAsia="Calibri"/>
                <w:lang w:eastAsia="en-US"/>
              </w:rPr>
            </w:pPr>
          </w:p>
          <w:p w:rsidR="00EA481E" w:rsidRPr="00EA481E" w:rsidRDefault="00EA481E" w:rsidP="00EA481E">
            <w:pPr>
              <w:spacing w:line="360" w:lineRule="auto"/>
              <w:jc w:val="center"/>
              <w:rPr>
                <w:rFonts w:eastAsia="Calibri"/>
                <w:lang w:eastAsia="en-US"/>
              </w:rPr>
            </w:pPr>
            <w:r w:rsidRPr="00EA481E">
              <w:rPr>
                <w:rFonts w:eastAsia="Calibri"/>
                <w:lang w:eastAsia="en-US"/>
              </w:rPr>
              <w:t xml:space="preserve">                                                                                                                       Betül ÖZTOPRAK</w:t>
            </w:r>
          </w:p>
          <w:p w:rsidR="00EA481E" w:rsidRPr="00EA481E" w:rsidRDefault="00EA481E" w:rsidP="00EA481E">
            <w:pPr>
              <w:spacing w:line="360" w:lineRule="auto"/>
              <w:jc w:val="center"/>
              <w:rPr>
                <w:rFonts w:eastAsia="Calibri"/>
                <w:lang w:eastAsia="en-US"/>
              </w:rPr>
            </w:pPr>
            <w:r w:rsidRPr="00EA481E">
              <w:rPr>
                <w:rFonts w:eastAsia="Calibri"/>
                <w:lang w:eastAsia="en-US"/>
              </w:rPr>
              <w:t xml:space="preserve">                                                                                                                    Vaiz</w:t>
            </w:r>
          </w:p>
          <w:p w:rsidR="00CA46FF" w:rsidRPr="000A357D" w:rsidRDefault="00CA46FF" w:rsidP="000C6A5A">
            <w:pPr>
              <w:spacing w:after="200" w:line="276" w:lineRule="auto"/>
              <w:jc w:val="both"/>
              <w:rPr>
                <w:rFonts w:ascii="Calibri" w:eastAsia="Calibri" w:hAnsi="Calibri" w:cs="Calibri"/>
                <w:b/>
              </w:rPr>
            </w:pPr>
          </w:p>
        </w:tc>
        <w:tc>
          <w:tcPr>
            <w:tcW w:w="2236" w:type="dxa"/>
          </w:tcPr>
          <w:p w:rsidR="0099122A" w:rsidRDefault="0099122A">
            <w:pPr>
              <w:tabs>
                <w:tab w:val="left" w:pos="900"/>
              </w:tabs>
              <w:jc w:val="center"/>
              <w:rPr>
                <w:b/>
                <w:i/>
              </w:rPr>
            </w:pPr>
          </w:p>
          <w:p w:rsidR="0099122A" w:rsidRDefault="0099122A">
            <w:pPr>
              <w:tabs>
                <w:tab w:val="left" w:pos="900"/>
              </w:tabs>
              <w:jc w:val="center"/>
              <w:rPr>
                <w:b/>
                <w:i/>
              </w:rPr>
            </w:pPr>
          </w:p>
          <w:p w:rsidR="0099122A" w:rsidRDefault="0099122A">
            <w:pPr>
              <w:tabs>
                <w:tab w:val="left" w:pos="900"/>
              </w:tabs>
              <w:jc w:val="center"/>
              <w:rPr>
                <w:b/>
                <w:i/>
              </w:rPr>
            </w:pPr>
          </w:p>
          <w:p w:rsidR="00CA46FF" w:rsidRDefault="00FA6CC1">
            <w:pPr>
              <w:tabs>
                <w:tab w:val="left" w:pos="900"/>
              </w:tabs>
              <w:jc w:val="center"/>
            </w:pPr>
            <w:r>
              <w:rPr>
                <w:b/>
                <w:i/>
              </w:rPr>
              <w:t xml:space="preserve">HER GÜNE BİR HADİS </w:t>
            </w:r>
          </w:p>
          <w:p w:rsidR="00CA46FF" w:rsidRDefault="00FA6CC1">
            <w:pPr>
              <w:tabs>
                <w:tab w:val="left" w:pos="900"/>
              </w:tabs>
            </w:pPr>
            <w:r>
              <w:t xml:space="preserve">“Müslüman, Müslüman’ın kardeşidir. Ona hainlik yapmaz, ona yalan söylemez, onu zor </w:t>
            </w:r>
          </w:p>
          <w:p w:rsidR="00CA46FF" w:rsidRDefault="00FA6CC1">
            <w:pPr>
              <w:tabs>
                <w:tab w:val="left" w:pos="900"/>
              </w:tabs>
            </w:pPr>
            <w:proofErr w:type="gramStart"/>
            <w:r>
              <w:t>durumda</w:t>
            </w:r>
            <w:proofErr w:type="gramEnd"/>
            <w:r>
              <w:t xml:space="preserve"> yüzüstü bırakmaz…”</w:t>
            </w:r>
          </w:p>
          <w:p w:rsidR="00CA46FF" w:rsidRDefault="00FA6CC1">
            <w:pPr>
              <w:tabs>
                <w:tab w:val="left" w:pos="900"/>
              </w:tabs>
            </w:pPr>
            <w:r>
              <w:t xml:space="preserve"> (</w:t>
            </w:r>
            <w:proofErr w:type="spellStart"/>
            <w:r>
              <w:t>Tirmizî</w:t>
            </w:r>
            <w:proofErr w:type="spellEnd"/>
            <w:r>
              <w:t xml:space="preserve">, </w:t>
            </w:r>
            <w:proofErr w:type="spellStart"/>
            <w:r>
              <w:t>Birr</w:t>
            </w:r>
            <w:proofErr w:type="spellEnd"/>
            <w:r>
              <w:t>, 18)</w:t>
            </w:r>
          </w:p>
        </w:tc>
      </w:tr>
      <w:tr w:rsidR="00CA46FF">
        <w:trPr>
          <w:cantSplit/>
          <w:trHeight w:val="2889"/>
        </w:trPr>
        <w:tc>
          <w:tcPr>
            <w:tcW w:w="2577" w:type="dxa"/>
          </w:tcPr>
          <w:p w:rsidR="0099122A" w:rsidRDefault="0099122A">
            <w:pPr>
              <w:tabs>
                <w:tab w:val="left" w:pos="900"/>
              </w:tabs>
              <w:jc w:val="center"/>
              <w:rPr>
                <w:b/>
              </w:rPr>
            </w:pPr>
          </w:p>
          <w:p w:rsidR="0099122A" w:rsidRDefault="0099122A">
            <w:pPr>
              <w:tabs>
                <w:tab w:val="left" w:pos="900"/>
              </w:tabs>
              <w:jc w:val="center"/>
              <w:rPr>
                <w:b/>
              </w:rPr>
            </w:pPr>
          </w:p>
          <w:p w:rsidR="00CA46FF" w:rsidRDefault="00FA6CC1">
            <w:pPr>
              <w:tabs>
                <w:tab w:val="left" w:pos="900"/>
              </w:tabs>
              <w:jc w:val="center"/>
              <w:rPr>
                <w:b/>
              </w:rPr>
            </w:pPr>
            <w:r>
              <w:rPr>
                <w:b/>
              </w:rPr>
              <w:t>GÜNÜN DUASI</w:t>
            </w:r>
          </w:p>
          <w:p w:rsidR="00CA46FF" w:rsidRDefault="00CA46FF" w:rsidP="00555735">
            <w:pPr>
              <w:tabs>
                <w:tab w:val="left" w:pos="900"/>
              </w:tabs>
              <w:rPr>
                <w:b/>
              </w:rPr>
            </w:pPr>
          </w:p>
          <w:p w:rsidR="00CA46FF" w:rsidRDefault="00FA6CC1">
            <w:pPr>
              <w:pBdr>
                <w:top w:val="nil"/>
                <w:left w:val="nil"/>
                <w:bottom w:val="nil"/>
                <w:right w:val="nil"/>
                <w:between w:val="nil"/>
              </w:pBdr>
              <w:tabs>
                <w:tab w:val="left" w:pos="900"/>
              </w:tabs>
              <w:rPr>
                <w:i/>
              </w:rPr>
            </w:pPr>
            <w:r>
              <w:rPr>
                <w:i/>
              </w:rPr>
              <w:t xml:space="preserve">Allah’ım! Beni önümden, arkamdan, sağımdan, solumdan </w:t>
            </w:r>
          </w:p>
          <w:p w:rsidR="00CA46FF" w:rsidRDefault="00FA6CC1">
            <w:pPr>
              <w:pBdr>
                <w:top w:val="nil"/>
                <w:left w:val="nil"/>
                <w:bottom w:val="nil"/>
                <w:right w:val="nil"/>
                <w:between w:val="nil"/>
              </w:pBdr>
              <w:tabs>
                <w:tab w:val="left" w:pos="900"/>
              </w:tabs>
              <w:rPr>
                <w:i/>
              </w:rPr>
            </w:pPr>
            <w:proofErr w:type="gramStart"/>
            <w:r>
              <w:rPr>
                <w:i/>
              </w:rPr>
              <w:t>ve</w:t>
            </w:r>
            <w:proofErr w:type="gramEnd"/>
            <w:r>
              <w:rPr>
                <w:i/>
              </w:rPr>
              <w:t xml:space="preserve"> üstümden (gelebilecek her türlü bela ve musibete karşı)</w:t>
            </w:r>
          </w:p>
          <w:p w:rsidR="00CA46FF" w:rsidRDefault="00FA6CC1">
            <w:pPr>
              <w:pBdr>
                <w:top w:val="nil"/>
                <w:left w:val="nil"/>
                <w:bottom w:val="nil"/>
                <w:right w:val="nil"/>
                <w:between w:val="nil"/>
              </w:pBdr>
              <w:tabs>
                <w:tab w:val="left" w:pos="900"/>
              </w:tabs>
              <w:rPr>
                <w:i/>
              </w:rPr>
            </w:pPr>
            <w:proofErr w:type="gramStart"/>
            <w:r>
              <w:rPr>
                <w:i/>
              </w:rPr>
              <w:t>muhafaza</w:t>
            </w:r>
            <w:proofErr w:type="gramEnd"/>
            <w:r>
              <w:rPr>
                <w:i/>
              </w:rPr>
              <w:t xml:space="preserve"> eyle. Altımdan kahrına uğramaktan (depremden) </w:t>
            </w:r>
          </w:p>
          <w:p w:rsidR="00CA46FF" w:rsidRDefault="00FA6CC1">
            <w:pPr>
              <w:pBdr>
                <w:top w:val="nil"/>
                <w:left w:val="nil"/>
                <w:bottom w:val="nil"/>
                <w:right w:val="nil"/>
                <w:between w:val="nil"/>
              </w:pBdr>
              <w:tabs>
                <w:tab w:val="left" w:pos="900"/>
              </w:tabs>
              <w:rPr>
                <w:i/>
              </w:rPr>
            </w:pPr>
            <w:proofErr w:type="gramStart"/>
            <w:r>
              <w:rPr>
                <w:i/>
              </w:rPr>
              <w:t>senin</w:t>
            </w:r>
            <w:proofErr w:type="gramEnd"/>
            <w:r>
              <w:rPr>
                <w:i/>
              </w:rPr>
              <w:t xml:space="preserve"> azametine sığınırım.” (</w:t>
            </w:r>
            <w:proofErr w:type="spellStart"/>
            <w:r>
              <w:rPr>
                <w:i/>
              </w:rPr>
              <w:t>Ebû</w:t>
            </w:r>
            <w:proofErr w:type="spellEnd"/>
            <w:r>
              <w:rPr>
                <w:i/>
              </w:rPr>
              <w:t xml:space="preserve"> Davud, </w:t>
            </w:r>
            <w:proofErr w:type="spellStart"/>
            <w:r>
              <w:rPr>
                <w:i/>
              </w:rPr>
              <w:t>Edeb</w:t>
            </w:r>
            <w:proofErr w:type="spellEnd"/>
            <w:r>
              <w:rPr>
                <w:i/>
              </w:rPr>
              <w:t xml:space="preserve">, 110; </w:t>
            </w:r>
            <w:proofErr w:type="spellStart"/>
            <w:r>
              <w:rPr>
                <w:i/>
              </w:rPr>
              <w:t>İbn</w:t>
            </w:r>
            <w:proofErr w:type="spellEnd"/>
            <w:r>
              <w:rPr>
                <w:i/>
              </w:rPr>
              <w:t xml:space="preserve"> </w:t>
            </w:r>
            <w:proofErr w:type="spellStart"/>
            <w:r>
              <w:rPr>
                <w:i/>
              </w:rPr>
              <w:t>Mâce</w:t>
            </w:r>
            <w:proofErr w:type="spellEnd"/>
            <w:r>
              <w:rPr>
                <w:i/>
              </w:rPr>
              <w:t>, Dua, 14)</w:t>
            </w:r>
          </w:p>
        </w:tc>
        <w:tc>
          <w:tcPr>
            <w:tcW w:w="11031" w:type="dxa"/>
            <w:vMerge/>
          </w:tcPr>
          <w:p w:rsidR="00CA46FF" w:rsidRDefault="00CA46FF">
            <w:pPr>
              <w:widowControl w:val="0"/>
              <w:pBdr>
                <w:top w:val="nil"/>
                <w:left w:val="nil"/>
                <w:bottom w:val="nil"/>
                <w:right w:val="nil"/>
                <w:between w:val="nil"/>
              </w:pBdr>
              <w:spacing w:line="276" w:lineRule="auto"/>
              <w:rPr>
                <w:i/>
              </w:rPr>
            </w:pPr>
          </w:p>
        </w:tc>
        <w:tc>
          <w:tcPr>
            <w:tcW w:w="2236" w:type="dxa"/>
          </w:tcPr>
          <w:p w:rsidR="00CA46FF" w:rsidRDefault="00CA46FF">
            <w:pPr>
              <w:tabs>
                <w:tab w:val="left" w:pos="900"/>
              </w:tabs>
              <w:rPr>
                <w:color w:val="FF0000"/>
              </w:rPr>
            </w:pPr>
          </w:p>
          <w:p w:rsidR="00CA46FF" w:rsidRDefault="00FA6CC1">
            <w:pPr>
              <w:tabs>
                <w:tab w:val="left" w:pos="900"/>
              </w:tabs>
            </w:pPr>
            <w:r>
              <w:rPr>
                <w:b/>
              </w:rPr>
              <w:t>BİR SORU-BİR CEVAP</w:t>
            </w:r>
          </w:p>
          <w:p w:rsidR="00CA46FF" w:rsidRDefault="00CA46FF"/>
          <w:p w:rsidR="00CA46FF" w:rsidRDefault="00FA6CC1">
            <w:pPr>
              <w:rPr>
                <w:b/>
              </w:rPr>
            </w:pPr>
            <w:r>
              <w:rPr>
                <w:b/>
              </w:rPr>
              <w:t>Ticaret malının zekâtı kendi cinsinden ödenebilir mi?</w:t>
            </w:r>
          </w:p>
          <w:p w:rsidR="00CA46FF" w:rsidRDefault="00FA6CC1">
            <w:r>
              <w:t xml:space="preserve"> Ticaret mallarının zekâtı, malın değeri üzerinden hesaplanıp parayla verilebileceği gibi, malın kendi cinsinden de verilebilir (</w:t>
            </w:r>
            <w:proofErr w:type="spellStart"/>
            <w:proofErr w:type="gramStart"/>
            <w:r>
              <w:t>Fetvalar,DİB</w:t>
            </w:r>
            <w:proofErr w:type="spellEnd"/>
            <w:proofErr w:type="gramEnd"/>
            <w:r>
              <w:t xml:space="preserve"> Yay.syf.239)</w:t>
            </w:r>
          </w:p>
          <w:p w:rsidR="00CA46FF" w:rsidRDefault="00CA46FF"/>
          <w:p w:rsidR="00CA46FF" w:rsidRDefault="00CA46FF"/>
        </w:tc>
      </w:tr>
    </w:tbl>
    <w:p w:rsidR="00CA46FF" w:rsidRDefault="00CA46FF">
      <w:pPr>
        <w:tabs>
          <w:tab w:val="left" w:pos="900"/>
        </w:tabs>
        <w:rPr>
          <w:color w:val="FF0000"/>
        </w:rPr>
      </w:pPr>
    </w:p>
    <w:sectPr w:rsidR="00CA46FF">
      <w:pgSz w:w="16838" w:h="11906" w:orient="landscape"/>
      <w:pgMar w:top="567" w:right="567" w:bottom="567" w:left="567"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32CA5"/>
    <w:multiLevelType w:val="multilevel"/>
    <w:tmpl w:val="F54E3BC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4F635D03"/>
    <w:multiLevelType w:val="multilevel"/>
    <w:tmpl w:val="0E88B342"/>
    <w:lvl w:ilvl="0">
      <w:start w:val="1"/>
      <w:numFmt w:val="upp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CA46FF"/>
    <w:rsid w:val="000A357D"/>
    <w:rsid w:val="000C6A5A"/>
    <w:rsid w:val="00130D2A"/>
    <w:rsid w:val="00272778"/>
    <w:rsid w:val="0031786F"/>
    <w:rsid w:val="005367FB"/>
    <w:rsid w:val="00555735"/>
    <w:rsid w:val="0099122A"/>
    <w:rsid w:val="009D7100"/>
    <w:rsid w:val="00C24835"/>
    <w:rsid w:val="00CA46FF"/>
    <w:rsid w:val="00EA481E"/>
    <w:rsid w:val="00EE23B2"/>
    <w:rsid w:val="00FA6C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30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748</Words>
  <Characters>4264</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16</cp:revision>
  <dcterms:created xsi:type="dcterms:W3CDTF">2022-04-10T09:43:00Z</dcterms:created>
  <dcterms:modified xsi:type="dcterms:W3CDTF">2024-03-22T10:07:00Z</dcterms:modified>
</cp:coreProperties>
</file>